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3B5B" w14:textId="77E90CFB" w:rsidR="00EB7531" w:rsidRDefault="00A4370F">
      <w:pPr>
        <w:pStyle w:val="Title"/>
      </w:pPr>
      <w:r>
        <w:rPr>
          <w:noProof/>
        </w:rPr>
        <w:drawing>
          <wp:anchor distT="0" distB="0" distL="0" distR="0" simplePos="0" relativeHeight="15729152" behindDoc="0" locked="0" layoutInCell="1" allowOverlap="1" wp14:anchorId="3087E3F3" wp14:editId="6840A636">
            <wp:simplePos x="0" y="0"/>
            <wp:positionH relativeFrom="page">
              <wp:posOffset>892137</wp:posOffset>
            </wp:positionH>
            <wp:positionV relativeFrom="paragraph">
              <wp:posOffset>4716</wp:posOffset>
            </wp:positionV>
            <wp:extent cx="2049092" cy="55443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049092" cy="554432"/>
                    </a:xfrm>
                    <a:prstGeom prst="rect">
                      <a:avLst/>
                    </a:prstGeom>
                  </pic:spPr>
                </pic:pic>
              </a:graphicData>
            </a:graphic>
          </wp:anchor>
        </w:drawing>
      </w:r>
      <w:r w:rsidR="0031480F">
        <w:rPr>
          <w:spacing w:val="-2"/>
        </w:rPr>
        <w:t>Business Corporate Accounting</w:t>
      </w:r>
    </w:p>
    <w:p w14:paraId="369D1BDA" w14:textId="53ADE3D9" w:rsidR="00EB7531" w:rsidRDefault="00A4370F">
      <w:pPr>
        <w:spacing w:before="1"/>
        <w:ind w:right="110"/>
        <w:jc w:val="right"/>
        <w:rPr>
          <w:b/>
          <w:sz w:val="28"/>
        </w:rPr>
      </w:pPr>
      <w:r>
        <w:rPr>
          <w:noProof/>
        </w:rPr>
        <mc:AlternateContent>
          <mc:Choice Requires="wps">
            <w:drawing>
              <wp:anchor distT="0" distB="0" distL="0" distR="0" simplePos="0" relativeHeight="487587840" behindDoc="1" locked="0" layoutInCell="1" allowOverlap="1" wp14:anchorId="133543A8" wp14:editId="7D7135EE">
                <wp:simplePos x="0" y="0"/>
                <wp:positionH relativeFrom="page">
                  <wp:posOffset>714375</wp:posOffset>
                </wp:positionH>
                <wp:positionV relativeFrom="paragraph">
                  <wp:posOffset>242500</wp:posOffset>
                </wp:positionV>
                <wp:extent cx="635317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9525"/>
                        </a:xfrm>
                        <a:custGeom>
                          <a:avLst/>
                          <a:gdLst/>
                          <a:ahLst/>
                          <a:cxnLst/>
                          <a:rect l="l" t="t" r="r" b="b"/>
                          <a:pathLst>
                            <a:path w="6353175" h="9525">
                              <a:moveTo>
                                <a:pt x="0" y="9525"/>
                              </a:moveTo>
                              <a:lnTo>
                                <a:pt x="6353175" y="0"/>
                              </a:lnTo>
                            </a:path>
                          </a:pathLst>
                        </a:custGeom>
                        <a:ln w="44450">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w:pict>
              <v:shape w14:anchorId="3A7B565D" id="Graphic 3" o:spid="_x0000_s1026" style="position:absolute;margin-left:56.25pt;margin-top:19.1pt;width:500.2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35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dpFAIAAGgEAAAOAAAAZHJzL2Uyb0RvYy54bWysVE1v2zAMvQ/YfxB0X5ymSbcZcYqhQYcB&#10;RVegHXZWZDk2JosaqcTpvx8lfyTbbsNyECjziXqPj8r69tRacTRIDbhCXs3mUhinoWzcvpDfXu7f&#10;fZCCgnKlsuBMIV8NydvN2zfrzudmATXY0qDgIo7yzheyDsHnWUa6Nq2iGXjjOFkBtirwFvdZiarj&#10;6q3NFvP5TdYBlh5BGyL+uu2TcpPqV5XR4WtVkQnCFpK5hbRiWndxzTZrle9R+brRAw31Dyxa1Ti+&#10;dCq1VUGJAzZ/lWobjUBQhZmGNoOqarRJGljN1fwPNc+18iZp4eaQn9pE/6+sfjw++yeM1Mk/gP5B&#10;3JGs85RPmbihAXOqsI1YJi5OqYuvUxfNKQjNH2+uV9dX71dSaM59XC1WscmZysez+kDhs4FURx0f&#10;KPQelGOk6jHSJzeGyE5GD23yMEjBHqIU7OGu99CrEM9FcjEU3QWReuARky0czQskWDhLuKB5Blh3&#10;CZxkjYpZUo/gIF6ZRE40+OOlUOsio+VyuZqnOSGwTXnfWBuZEO53dxbFUcUpTb+hZ7/BPFLYKqp7&#10;XEoNMOsG03qfomM7KF+fUHQ82oWknweFRgr7xfHsxHcwBjgGuzHAYO8gvZbUJL7z5fRdoRfx+kIG&#10;tvkRxslU+ehgbMKEjScdfDoEqJpobxqontGw4XFO/RqeXnwvl/uEOv9BbH4BAAD//wMAUEsDBBQA&#10;BgAIAAAAIQDsWtmR4wAAAA8BAAAPAAAAZHJzL2Rvd25yZXYueG1sTE/bSsNAEH0X/IdlBF+k3STF&#10;XtJsirQISkGx9QO22WkSkp0N2W0T/97pk74MnJkz55JtRtuKK/a+dqQgnkYgkApnaioVfB9fJ0sQ&#10;PmgyunWECn7Qwya/v8t0atxAX3g9hFKwCPlUK6hC6FIpfVGh1X7qOiS+nV1vdWDYl9L0emBx28ok&#10;iubS6prYodIdbissmsPFKnhvDMUr3Lfb+RCa89vnrvx4Oir1+DDu1jxe1iACjuHvA24dOD/kHOzk&#10;LmS8aBnHyTNTFcyWCYgbIY5nXPHEm9UCZJ7J/z3yXwAAAP//AwBQSwECLQAUAAYACAAAACEAtoM4&#10;kv4AAADhAQAAEwAAAAAAAAAAAAAAAAAAAAAAW0NvbnRlbnRfVHlwZXNdLnhtbFBLAQItABQABgAI&#10;AAAAIQA4/SH/1gAAAJQBAAALAAAAAAAAAAAAAAAAAC8BAABfcmVscy8ucmVsc1BLAQItABQABgAI&#10;AAAAIQAisDdpFAIAAGgEAAAOAAAAAAAAAAAAAAAAAC4CAABkcnMvZTJvRG9jLnhtbFBLAQItABQA&#10;BgAIAAAAIQDsWtmR4wAAAA8BAAAPAAAAAAAAAAAAAAAAAG4EAABkcnMvZG93bnJldi54bWxQSwUG&#10;AAAAAAQABADzAAAAfgUAAAAA&#10;" path="m,9525l6353175,e" filled="f" strokeweight="3.5pt">
                <v:path arrowok="t"/>
                <w10:wrap type="topAndBottom" anchorx="page"/>
              </v:shape>
            </w:pict>
          </mc:Fallback>
        </mc:AlternateContent>
      </w:r>
      <w:r>
        <w:rPr>
          <w:b/>
          <w:sz w:val="28"/>
        </w:rPr>
        <w:t>(</w:t>
      </w:r>
      <w:r w:rsidR="00B907F8">
        <w:rPr>
          <w:b/>
          <w:sz w:val="28"/>
        </w:rPr>
        <w:t>20</w:t>
      </w:r>
      <w:r w:rsidR="001C71CE">
        <w:rPr>
          <w:b/>
          <w:sz w:val="28"/>
        </w:rPr>
        <w:t>17</w:t>
      </w:r>
      <w:r w:rsidR="00B907F8">
        <w:rPr>
          <w:b/>
          <w:sz w:val="28"/>
        </w:rPr>
        <w:t>-2023</w:t>
      </w:r>
      <w:r>
        <w:rPr>
          <w:b/>
          <w:spacing w:val="-5"/>
          <w:sz w:val="28"/>
        </w:rPr>
        <w:t xml:space="preserve"> CY)</w:t>
      </w:r>
    </w:p>
    <w:p w14:paraId="4F80E44D" w14:textId="77777777" w:rsidR="00B907F8" w:rsidRDefault="00B907F8" w:rsidP="00B907F8">
      <w:pPr>
        <w:rPr>
          <w:b/>
          <w:sz w:val="28"/>
        </w:rPr>
      </w:pPr>
    </w:p>
    <w:p w14:paraId="66F940A7" w14:textId="1E49BFA5" w:rsidR="00B907F8" w:rsidRDefault="0031480F" w:rsidP="00B907F8">
      <w:pPr>
        <w:rPr>
          <w:b/>
          <w:bCs/>
          <w:sz w:val="36"/>
          <w:szCs w:val="36"/>
        </w:rPr>
      </w:pPr>
      <w:r>
        <w:rPr>
          <w:b/>
          <w:bCs/>
          <w:sz w:val="36"/>
          <w:szCs w:val="36"/>
        </w:rPr>
        <w:t xml:space="preserve">Business Corporate Accounting </w:t>
      </w:r>
      <w:r w:rsidR="00B907F8" w:rsidRPr="00B61C4B">
        <w:rPr>
          <w:b/>
          <w:bCs/>
          <w:sz w:val="36"/>
          <w:szCs w:val="36"/>
        </w:rPr>
        <w:t xml:space="preserve">Advising  </w:t>
      </w:r>
    </w:p>
    <w:p w14:paraId="03323BEF" w14:textId="77777777" w:rsidR="00B907F8" w:rsidRPr="00B61C4B" w:rsidRDefault="00B907F8" w:rsidP="00B907F8">
      <w:pPr>
        <w:rPr>
          <w:b/>
          <w:bCs/>
          <w:sz w:val="36"/>
          <w:szCs w:val="36"/>
        </w:rPr>
      </w:pPr>
    </w:p>
    <w:p w14:paraId="3931FD91" w14:textId="451A44CE" w:rsidR="00B907F8" w:rsidRPr="00B61C4B" w:rsidRDefault="0031480F" w:rsidP="00B907F8">
      <w:r>
        <w:t>The BA in business with a concentration in corporate accounting addresses the educational needs of many students who have an interest in accounting, but no plans to enter public accounting. The emphasis of this program is managerial accounting. The six major courses in the concentration in corporate accounting prepare students for corporate accounting positions by helping students develop skills in strategic financial planning, control, corporate compliance and decision-making. Upon completion of the program, students may take the Certified Management Accountant exam.</w:t>
      </w:r>
    </w:p>
    <w:p w14:paraId="4DD970EE" w14:textId="77777777" w:rsidR="00B907F8" w:rsidRDefault="00B907F8" w:rsidP="00B907F8"/>
    <w:p w14:paraId="29CE2F5B" w14:textId="1B780C3B" w:rsidR="00B907F8" w:rsidRDefault="00B907F8" w:rsidP="00B907F8">
      <w:pPr>
        <w:rPr>
          <w:b/>
          <w:bCs/>
        </w:rPr>
      </w:pPr>
      <w:r w:rsidRPr="00B61C4B">
        <w:rPr>
          <w:b/>
          <w:bCs/>
        </w:rPr>
        <w:t>Major Requirements</w:t>
      </w:r>
    </w:p>
    <w:p w14:paraId="677A0268" w14:textId="1066C092" w:rsidR="001C71CE" w:rsidRDefault="001C71CE" w:rsidP="00B907F8">
      <w:pPr>
        <w:rPr>
          <w:b/>
          <w:bCs/>
        </w:rPr>
      </w:pPr>
    </w:p>
    <w:tbl>
      <w:tblPr>
        <w:tblW w:w="9570" w:type="dxa"/>
        <w:shd w:val="clear" w:color="auto" w:fill="FFFFFF"/>
        <w:tblCellMar>
          <w:top w:w="15" w:type="dxa"/>
          <w:left w:w="15" w:type="dxa"/>
          <w:bottom w:w="15" w:type="dxa"/>
          <w:right w:w="15" w:type="dxa"/>
        </w:tblCellMar>
        <w:tblLook w:val="04A0" w:firstRow="1" w:lastRow="0" w:firstColumn="1" w:lastColumn="0" w:noHBand="0" w:noVBand="1"/>
      </w:tblPr>
      <w:tblGrid>
        <w:gridCol w:w="9570"/>
      </w:tblGrid>
      <w:tr w:rsidR="001C71CE" w:rsidRPr="001C71CE" w14:paraId="566AC793" w14:textId="77777777" w:rsidTr="0031480F">
        <w:trPr>
          <w:tblHeader/>
        </w:trPr>
        <w:tc>
          <w:tcPr>
            <w:tcW w:w="9570" w:type="dxa"/>
            <w:tcBorders>
              <w:top w:val="single" w:sz="2" w:space="0" w:color="auto"/>
              <w:left w:val="single" w:sz="2" w:space="0" w:color="auto"/>
              <w:bottom w:val="single" w:sz="24" w:space="0" w:color="auto"/>
              <w:right w:val="single" w:sz="2" w:space="0" w:color="auto"/>
            </w:tcBorders>
            <w:shd w:val="clear" w:color="auto" w:fill="FFFFFF"/>
            <w:vAlign w:val="center"/>
            <w:hideMark/>
          </w:tcPr>
          <w:p w14:paraId="14C4A140" w14:textId="3916166D" w:rsidR="001C71CE" w:rsidRPr="001C71CE" w:rsidRDefault="001C71CE" w:rsidP="00D118BB">
            <w:pPr>
              <w:rPr>
                <w:rFonts w:asciiTheme="minorHAnsi" w:hAnsiTheme="minorHAnsi" w:cstheme="minorHAnsi"/>
                <w:b/>
                <w:bCs/>
                <w:color w:val="191919"/>
              </w:rPr>
            </w:pPr>
            <w:r w:rsidRPr="001C71CE">
              <w:rPr>
                <w:rFonts w:asciiTheme="minorHAnsi" w:hAnsiTheme="minorHAnsi" w:cstheme="minorHAnsi"/>
                <w:b/>
                <w:bCs/>
                <w:color w:val="191919"/>
              </w:rPr>
              <w:t xml:space="preserve">Sequencing </w:t>
            </w:r>
            <w:r w:rsidR="00D26E46">
              <w:rPr>
                <w:rFonts w:asciiTheme="minorHAnsi" w:hAnsiTheme="minorHAnsi" w:cstheme="minorHAnsi"/>
                <w:b/>
                <w:bCs/>
                <w:color w:val="191919"/>
              </w:rPr>
              <w:t>–</w:t>
            </w:r>
            <w:r w:rsidRPr="001C71CE">
              <w:rPr>
                <w:rFonts w:asciiTheme="minorHAnsi" w:hAnsiTheme="minorHAnsi" w:cstheme="minorHAnsi"/>
                <w:b/>
                <w:bCs/>
                <w:color w:val="191919"/>
              </w:rPr>
              <w:t xml:space="preserve"> </w:t>
            </w:r>
            <w:r w:rsidR="0031480F">
              <w:rPr>
                <w:rFonts w:asciiTheme="minorHAnsi" w:hAnsiTheme="minorHAnsi" w:cstheme="minorHAnsi"/>
                <w:b/>
                <w:bCs/>
                <w:color w:val="191919"/>
              </w:rPr>
              <w:t>Online</w:t>
            </w:r>
          </w:p>
        </w:tc>
      </w:tr>
    </w:tbl>
    <w:p w14:paraId="6D20267D" w14:textId="77777777" w:rsidR="001C71CE" w:rsidRPr="001C71CE" w:rsidRDefault="001C71CE" w:rsidP="001C71CE">
      <w:pPr>
        <w:rPr>
          <w:rFonts w:asciiTheme="minorHAnsi" w:hAnsiTheme="minorHAnsi" w:cstheme="minorHAnsi"/>
          <w:vanish/>
        </w:rPr>
      </w:pPr>
    </w:p>
    <w:tbl>
      <w:tblPr>
        <w:tblW w:w="9660" w:type="dxa"/>
        <w:shd w:val="clear" w:color="auto" w:fill="FFFFFF"/>
        <w:tblCellMar>
          <w:top w:w="15" w:type="dxa"/>
          <w:left w:w="15" w:type="dxa"/>
          <w:bottom w:w="15" w:type="dxa"/>
          <w:right w:w="15" w:type="dxa"/>
        </w:tblCellMar>
        <w:tblLook w:val="04A0" w:firstRow="1" w:lastRow="0" w:firstColumn="1" w:lastColumn="0" w:noHBand="0" w:noVBand="1"/>
      </w:tblPr>
      <w:tblGrid>
        <w:gridCol w:w="1094"/>
        <w:gridCol w:w="613"/>
        <w:gridCol w:w="1170"/>
        <w:gridCol w:w="540"/>
        <w:gridCol w:w="990"/>
        <w:gridCol w:w="450"/>
        <w:gridCol w:w="1260"/>
        <w:gridCol w:w="540"/>
        <w:gridCol w:w="1170"/>
        <w:gridCol w:w="540"/>
        <w:gridCol w:w="1293"/>
      </w:tblGrid>
      <w:tr w:rsidR="0031480F" w:rsidRPr="001C71CE" w14:paraId="5D4D7774" w14:textId="77777777" w:rsidTr="0031480F">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0737BD6A" w14:textId="77777777" w:rsidR="0031480F" w:rsidRDefault="0031480F" w:rsidP="00D118BB">
            <w:pPr>
              <w:rPr>
                <w:rStyle w:val="Strong"/>
                <w:rFonts w:asciiTheme="minorHAnsi" w:hAnsiTheme="minorHAnsi" w:cstheme="minorHAnsi"/>
                <w:color w:val="191919"/>
              </w:rPr>
            </w:pPr>
            <w:r w:rsidRPr="0031480F">
              <w:rPr>
                <w:rStyle w:val="Strong"/>
                <w:rFonts w:asciiTheme="minorHAnsi" w:hAnsiTheme="minorHAnsi" w:cstheme="minorHAnsi"/>
                <w:color w:val="191919"/>
              </w:rPr>
              <w:t>Fall A</w:t>
            </w:r>
          </w:p>
          <w:p w14:paraId="0109DCBC" w14:textId="76D073C7" w:rsidR="0031480F" w:rsidRPr="0031480F" w:rsidRDefault="0031480F" w:rsidP="00D118BB">
            <w:pPr>
              <w:rPr>
                <w:rFonts w:asciiTheme="minorHAnsi" w:hAnsiTheme="minorHAnsi" w:cstheme="minorHAnsi"/>
                <w:color w:val="191919"/>
              </w:rPr>
            </w:pPr>
            <w:r>
              <w:rPr>
                <w:rStyle w:val="Strong"/>
              </w:rPr>
              <w:t>ACC 310</w:t>
            </w:r>
          </w:p>
        </w:tc>
        <w:tc>
          <w:tcPr>
            <w:tcW w:w="613" w:type="dxa"/>
            <w:tcBorders>
              <w:top w:val="single" w:sz="2" w:space="0" w:color="auto"/>
              <w:left w:val="single" w:sz="2" w:space="0" w:color="auto"/>
              <w:bottom w:val="single" w:sz="24" w:space="0" w:color="auto"/>
              <w:right w:val="single" w:sz="2" w:space="0" w:color="auto"/>
            </w:tcBorders>
            <w:shd w:val="clear" w:color="auto" w:fill="FFFFFF"/>
            <w:vAlign w:val="center"/>
            <w:hideMark/>
          </w:tcPr>
          <w:p w14:paraId="7265D343" w14:textId="77777777" w:rsidR="0031480F" w:rsidRPr="0031480F" w:rsidRDefault="0031480F" w:rsidP="00D118BB">
            <w:pPr>
              <w:rPr>
                <w:rFonts w:asciiTheme="minorHAnsi" w:hAnsiTheme="minorHAnsi" w:cstheme="minorHAnsi"/>
                <w:color w:val="191919"/>
              </w:rPr>
            </w:pPr>
            <w:r w:rsidRPr="0031480F">
              <w:rPr>
                <w:rStyle w:val="Strong"/>
                <w:rFonts w:ascii="Cambria Math" w:hAnsi="Cambria Math" w:cs="Cambria Math"/>
                <w:color w:val="191919"/>
              </w:rPr>
              <w:t>⇒</w:t>
            </w:r>
          </w:p>
        </w:tc>
        <w:tc>
          <w:tcPr>
            <w:tcW w:w="1170" w:type="dxa"/>
            <w:tcBorders>
              <w:top w:val="single" w:sz="2" w:space="0" w:color="auto"/>
              <w:left w:val="single" w:sz="2" w:space="0" w:color="auto"/>
              <w:bottom w:val="single" w:sz="24" w:space="0" w:color="auto"/>
              <w:right w:val="single" w:sz="2" w:space="0" w:color="auto"/>
            </w:tcBorders>
            <w:shd w:val="clear" w:color="auto" w:fill="FFFFFF"/>
            <w:vAlign w:val="center"/>
            <w:hideMark/>
          </w:tcPr>
          <w:p w14:paraId="43698288" w14:textId="77777777" w:rsidR="0031480F" w:rsidRDefault="0031480F" w:rsidP="00D118BB">
            <w:pPr>
              <w:rPr>
                <w:rStyle w:val="Strong"/>
                <w:rFonts w:asciiTheme="minorHAnsi" w:hAnsiTheme="minorHAnsi" w:cstheme="minorHAnsi"/>
                <w:color w:val="191919"/>
              </w:rPr>
            </w:pPr>
            <w:r w:rsidRPr="0031480F">
              <w:rPr>
                <w:rStyle w:val="Strong"/>
                <w:rFonts w:asciiTheme="minorHAnsi" w:hAnsiTheme="minorHAnsi" w:cstheme="minorHAnsi"/>
                <w:color w:val="191919"/>
              </w:rPr>
              <w:t>Fall B</w:t>
            </w:r>
          </w:p>
          <w:p w14:paraId="4766AFAC" w14:textId="637EDC63" w:rsidR="0031480F" w:rsidRPr="0031480F" w:rsidRDefault="0031480F" w:rsidP="00D118BB">
            <w:pPr>
              <w:rPr>
                <w:rFonts w:asciiTheme="minorHAnsi" w:hAnsiTheme="minorHAnsi" w:cstheme="minorHAnsi"/>
                <w:color w:val="191919"/>
              </w:rPr>
            </w:pPr>
            <w:r>
              <w:rPr>
                <w:rStyle w:val="Strong"/>
              </w:rPr>
              <w:t>ACC 320</w:t>
            </w:r>
          </w:p>
        </w:tc>
        <w:tc>
          <w:tcPr>
            <w:tcW w:w="540" w:type="dxa"/>
            <w:tcBorders>
              <w:top w:val="single" w:sz="2" w:space="0" w:color="auto"/>
              <w:left w:val="single" w:sz="2" w:space="0" w:color="auto"/>
              <w:bottom w:val="single" w:sz="24" w:space="0" w:color="auto"/>
              <w:right w:val="single" w:sz="2" w:space="0" w:color="auto"/>
            </w:tcBorders>
            <w:shd w:val="clear" w:color="auto" w:fill="FFFFFF"/>
            <w:vAlign w:val="center"/>
            <w:hideMark/>
          </w:tcPr>
          <w:p w14:paraId="496E21F1" w14:textId="77777777" w:rsidR="0031480F" w:rsidRPr="0031480F" w:rsidRDefault="0031480F" w:rsidP="00D118BB">
            <w:pPr>
              <w:rPr>
                <w:rFonts w:asciiTheme="minorHAnsi" w:hAnsiTheme="minorHAnsi" w:cstheme="minorHAnsi"/>
                <w:color w:val="191919"/>
              </w:rPr>
            </w:pPr>
            <w:r w:rsidRPr="0031480F">
              <w:rPr>
                <w:rStyle w:val="Strong"/>
                <w:rFonts w:ascii="Cambria Math" w:hAnsi="Cambria Math" w:cs="Cambria Math"/>
                <w:color w:val="191919"/>
              </w:rPr>
              <w:t>⇒</w:t>
            </w:r>
          </w:p>
        </w:tc>
        <w:tc>
          <w:tcPr>
            <w:tcW w:w="990" w:type="dxa"/>
            <w:tcBorders>
              <w:top w:val="single" w:sz="2" w:space="0" w:color="auto"/>
              <w:left w:val="single" w:sz="2" w:space="0" w:color="auto"/>
              <w:bottom w:val="single" w:sz="24" w:space="0" w:color="auto"/>
              <w:right w:val="single" w:sz="2" w:space="0" w:color="auto"/>
            </w:tcBorders>
            <w:shd w:val="clear" w:color="auto" w:fill="FFFFFF"/>
            <w:vAlign w:val="center"/>
            <w:hideMark/>
          </w:tcPr>
          <w:p w14:paraId="521CBA7B" w14:textId="77777777" w:rsidR="0031480F" w:rsidRDefault="0031480F" w:rsidP="00D118BB">
            <w:pPr>
              <w:rPr>
                <w:rStyle w:val="Strong"/>
                <w:rFonts w:asciiTheme="minorHAnsi" w:hAnsiTheme="minorHAnsi" w:cstheme="minorHAnsi"/>
                <w:color w:val="191919"/>
              </w:rPr>
            </w:pPr>
            <w:r w:rsidRPr="0031480F">
              <w:rPr>
                <w:rStyle w:val="Strong"/>
                <w:rFonts w:asciiTheme="minorHAnsi" w:hAnsiTheme="minorHAnsi" w:cstheme="minorHAnsi"/>
                <w:color w:val="191919"/>
              </w:rPr>
              <w:t>Spring A</w:t>
            </w:r>
          </w:p>
          <w:p w14:paraId="2118E6D4" w14:textId="47660F78" w:rsidR="0031480F" w:rsidRPr="0031480F" w:rsidRDefault="0031480F" w:rsidP="00D118BB">
            <w:pPr>
              <w:rPr>
                <w:rFonts w:asciiTheme="minorHAnsi" w:hAnsiTheme="minorHAnsi" w:cstheme="minorHAnsi"/>
                <w:color w:val="191919"/>
              </w:rPr>
            </w:pPr>
            <w:r>
              <w:rPr>
                <w:rStyle w:val="Strong"/>
              </w:rPr>
              <w:t>ACC 410</w:t>
            </w:r>
          </w:p>
        </w:tc>
        <w:tc>
          <w:tcPr>
            <w:tcW w:w="450" w:type="dxa"/>
            <w:tcBorders>
              <w:top w:val="single" w:sz="2" w:space="0" w:color="auto"/>
              <w:left w:val="single" w:sz="2" w:space="0" w:color="auto"/>
              <w:bottom w:val="single" w:sz="24" w:space="0" w:color="auto"/>
              <w:right w:val="single" w:sz="2" w:space="0" w:color="auto"/>
            </w:tcBorders>
            <w:shd w:val="clear" w:color="auto" w:fill="FFFFFF"/>
            <w:vAlign w:val="center"/>
            <w:hideMark/>
          </w:tcPr>
          <w:p w14:paraId="535C2968" w14:textId="77777777" w:rsidR="0031480F" w:rsidRPr="0031480F" w:rsidRDefault="0031480F" w:rsidP="00D118BB">
            <w:pPr>
              <w:rPr>
                <w:rFonts w:asciiTheme="minorHAnsi" w:hAnsiTheme="minorHAnsi" w:cstheme="minorHAnsi"/>
                <w:color w:val="191919"/>
              </w:rPr>
            </w:pPr>
            <w:r w:rsidRPr="0031480F">
              <w:rPr>
                <w:rStyle w:val="Strong"/>
                <w:rFonts w:ascii="Cambria Math" w:hAnsi="Cambria Math" w:cs="Cambria Math"/>
                <w:color w:val="191919"/>
              </w:rPr>
              <w:t>⇒</w:t>
            </w:r>
          </w:p>
        </w:tc>
        <w:tc>
          <w:tcPr>
            <w:tcW w:w="1260" w:type="dxa"/>
            <w:tcBorders>
              <w:top w:val="single" w:sz="2" w:space="0" w:color="auto"/>
              <w:left w:val="single" w:sz="2" w:space="0" w:color="auto"/>
              <w:bottom w:val="single" w:sz="24" w:space="0" w:color="auto"/>
              <w:right w:val="single" w:sz="2" w:space="0" w:color="auto"/>
            </w:tcBorders>
            <w:shd w:val="clear" w:color="auto" w:fill="FFFFFF"/>
            <w:vAlign w:val="center"/>
            <w:hideMark/>
          </w:tcPr>
          <w:p w14:paraId="7FBEC05F" w14:textId="77777777" w:rsidR="0031480F" w:rsidRDefault="0031480F" w:rsidP="00D118BB">
            <w:pPr>
              <w:rPr>
                <w:rStyle w:val="Strong"/>
                <w:rFonts w:asciiTheme="minorHAnsi" w:hAnsiTheme="minorHAnsi" w:cstheme="minorHAnsi"/>
                <w:color w:val="191919"/>
              </w:rPr>
            </w:pPr>
            <w:r w:rsidRPr="0031480F">
              <w:rPr>
                <w:rStyle w:val="Strong"/>
                <w:rFonts w:asciiTheme="minorHAnsi" w:hAnsiTheme="minorHAnsi" w:cstheme="minorHAnsi"/>
                <w:color w:val="191919"/>
              </w:rPr>
              <w:t>Spring B</w:t>
            </w:r>
          </w:p>
          <w:p w14:paraId="11AD652F" w14:textId="19FA1DE3" w:rsidR="0031480F" w:rsidRPr="0031480F" w:rsidRDefault="0031480F" w:rsidP="00D118BB">
            <w:pPr>
              <w:rPr>
                <w:rFonts w:asciiTheme="minorHAnsi" w:hAnsiTheme="minorHAnsi" w:cstheme="minorHAnsi"/>
                <w:color w:val="191919"/>
              </w:rPr>
            </w:pPr>
            <w:r>
              <w:rPr>
                <w:rStyle w:val="Strong"/>
              </w:rPr>
              <w:t>ACC 420</w:t>
            </w:r>
          </w:p>
        </w:tc>
        <w:tc>
          <w:tcPr>
            <w:tcW w:w="540" w:type="dxa"/>
            <w:tcBorders>
              <w:top w:val="single" w:sz="2" w:space="0" w:color="auto"/>
              <w:left w:val="single" w:sz="2" w:space="0" w:color="auto"/>
              <w:bottom w:val="single" w:sz="24" w:space="0" w:color="auto"/>
              <w:right w:val="single" w:sz="2" w:space="0" w:color="auto"/>
            </w:tcBorders>
            <w:shd w:val="clear" w:color="auto" w:fill="FFFFFF"/>
            <w:vAlign w:val="center"/>
            <w:hideMark/>
          </w:tcPr>
          <w:p w14:paraId="440F6CDA" w14:textId="77777777" w:rsidR="0031480F" w:rsidRPr="0031480F" w:rsidRDefault="0031480F" w:rsidP="00D118BB">
            <w:pPr>
              <w:rPr>
                <w:rFonts w:asciiTheme="minorHAnsi" w:hAnsiTheme="minorHAnsi" w:cstheme="minorHAnsi"/>
                <w:color w:val="191919"/>
              </w:rPr>
            </w:pPr>
            <w:r w:rsidRPr="0031480F">
              <w:rPr>
                <w:rStyle w:val="Strong"/>
                <w:rFonts w:ascii="Cambria Math" w:hAnsi="Cambria Math" w:cs="Cambria Math"/>
                <w:color w:val="191919"/>
              </w:rPr>
              <w:t>⇒</w:t>
            </w:r>
          </w:p>
        </w:tc>
        <w:tc>
          <w:tcPr>
            <w:tcW w:w="1170" w:type="dxa"/>
            <w:tcBorders>
              <w:top w:val="single" w:sz="2" w:space="0" w:color="auto"/>
              <w:left w:val="single" w:sz="2" w:space="0" w:color="auto"/>
              <w:bottom w:val="single" w:sz="24" w:space="0" w:color="auto"/>
              <w:right w:val="single" w:sz="2" w:space="0" w:color="auto"/>
            </w:tcBorders>
            <w:shd w:val="clear" w:color="auto" w:fill="FFFFFF"/>
            <w:vAlign w:val="center"/>
            <w:hideMark/>
          </w:tcPr>
          <w:p w14:paraId="43C3CEDD" w14:textId="77777777" w:rsidR="0031480F" w:rsidRDefault="0031480F" w:rsidP="00D118BB">
            <w:pPr>
              <w:rPr>
                <w:rStyle w:val="Strong"/>
                <w:rFonts w:asciiTheme="minorHAnsi" w:hAnsiTheme="minorHAnsi" w:cstheme="minorHAnsi"/>
                <w:color w:val="191919"/>
              </w:rPr>
            </w:pPr>
            <w:r w:rsidRPr="0031480F">
              <w:rPr>
                <w:rStyle w:val="Strong"/>
                <w:rFonts w:asciiTheme="minorHAnsi" w:hAnsiTheme="minorHAnsi" w:cstheme="minorHAnsi"/>
                <w:color w:val="191919"/>
              </w:rPr>
              <w:t>Fall A</w:t>
            </w:r>
          </w:p>
          <w:p w14:paraId="1ECFCA8D" w14:textId="73AD081B" w:rsidR="0031480F" w:rsidRPr="0031480F" w:rsidRDefault="0031480F" w:rsidP="00D118BB">
            <w:pPr>
              <w:rPr>
                <w:rFonts w:asciiTheme="minorHAnsi" w:hAnsiTheme="minorHAnsi" w:cstheme="minorHAnsi"/>
                <w:color w:val="191919"/>
              </w:rPr>
            </w:pPr>
            <w:r>
              <w:rPr>
                <w:rStyle w:val="Strong"/>
              </w:rPr>
              <w:t>ACC 354</w:t>
            </w:r>
          </w:p>
        </w:tc>
        <w:tc>
          <w:tcPr>
            <w:tcW w:w="540" w:type="dxa"/>
            <w:tcBorders>
              <w:top w:val="single" w:sz="2" w:space="0" w:color="auto"/>
              <w:left w:val="single" w:sz="2" w:space="0" w:color="auto"/>
              <w:bottom w:val="single" w:sz="24" w:space="0" w:color="auto"/>
              <w:right w:val="single" w:sz="2" w:space="0" w:color="auto"/>
            </w:tcBorders>
            <w:shd w:val="clear" w:color="auto" w:fill="FFFFFF"/>
            <w:vAlign w:val="center"/>
            <w:hideMark/>
          </w:tcPr>
          <w:p w14:paraId="249A5785" w14:textId="77777777" w:rsidR="0031480F" w:rsidRPr="0031480F" w:rsidRDefault="0031480F" w:rsidP="00D118BB">
            <w:pPr>
              <w:rPr>
                <w:rFonts w:asciiTheme="minorHAnsi" w:hAnsiTheme="minorHAnsi" w:cstheme="minorHAnsi"/>
                <w:color w:val="191919"/>
              </w:rPr>
            </w:pPr>
            <w:r w:rsidRPr="0031480F">
              <w:rPr>
                <w:rStyle w:val="Strong"/>
                <w:rFonts w:ascii="Cambria Math" w:hAnsi="Cambria Math" w:cs="Cambria Math"/>
                <w:color w:val="191919"/>
              </w:rPr>
              <w:t>⇒</w:t>
            </w:r>
          </w:p>
        </w:tc>
        <w:tc>
          <w:tcPr>
            <w:tcW w:w="1293" w:type="dxa"/>
            <w:tcBorders>
              <w:top w:val="single" w:sz="2" w:space="0" w:color="auto"/>
              <w:left w:val="single" w:sz="2" w:space="0" w:color="auto"/>
              <w:bottom w:val="single" w:sz="24" w:space="0" w:color="auto"/>
              <w:right w:val="single" w:sz="2" w:space="0" w:color="auto"/>
            </w:tcBorders>
            <w:shd w:val="clear" w:color="auto" w:fill="FFFFFF"/>
            <w:vAlign w:val="center"/>
            <w:hideMark/>
          </w:tcPr>
          <w:p w14:paraId="501C4A0E" w14:textId="3F99192A" w:rsidR="0031480F" w:rsidRPr="0031480F" w:rsidRDefault="0031480F" w:rsidP="00D118BB">
            <w:pPr>
              <w:rPr>
                <w:rFonts w:asciiTheme="minorHAnsi" w:hAnsiTheme="minorHAnsi" w:cstheme="minorHAnsi"/>
                <w:color w:val="191919"/>
              </w:rPr>
            </w:pPr>
            <w:r w:rsidRPr="0031480F">
              <w:rPr>
                <w:rStyle w:val="Strong"/>
                <w:rFonts w:asciiTheme="minorHAnsi" w:hAnsiTheme="minorHAnsi" w:cstheme="minorHAnsi"/>
                <w:color w:val="191919"/>
              </w:rPr>
              <w:t>Fall B</w:t>
            </w:r>
            <w:r w:rsidRPr="0031480F">
              <w:rPr>
                <w:rFonts w:asciiTheme="minorHAnsi" w:hAnsiTheme="minorHAnsi" w:cstheme="minorHAnsi"/>
                <w:color w:val="191919"/>
              </w:rPr>
              <w:br/>
            </w:r>
            <w:r w:rsidRPr="0031480F">
              <w:rPr>
                <w:rStyle w:val="Strong"/>
              </w:rPr>
              <w:t>ACC 454</w:t>
            </w:r>
          </w:p>
        </w:tc>
      </w:tr>
    </w:tbl>
    <w:p w14:paraId="50F6526B" w14:textId="77777777" w:rsidR="001C71CE" w:rsidRDefault="001C71CE" w:rsidP="00B907F8">
      <w:pPr>
        <w:rPr>
          <w:b/>
          <w:bCs/>
        </w:rPr>
      </w:pPr>
    </w:p>
    <w:p w14:paraId="0D069C99" w14:textId="77777777" w:rsidR="00B907F8" w:rsidRPr="00B61C4B" w:rsidRDefault="00B907F8" w:rsidP="00B907F8">
      <w:pPr>
        <w:rPr>
          <w:vanish/>
        </w:rPr>
      </w:pPr>
    </w:p>
    <w:p w14:paraId="51B256DF" w14:textId="77777777" w:rsidR="00B907F8" w:rsidRDefault="00B907F8" w:rsidP="00B907F8">
      <w:pPr>
        <w:rPr>
          <w:b/>
          <w:bCs/>
        </w:rPr>
      </w:pPr>
    </w:p>
    <w:p w14:paraId="41BB992E" w14:textId="7F9A5CA1" w:rsidR="00B907F8" w:rsidRPr="00B61C4B" w:rsidRDefault="007D66D0" w:rsidP="00B907F8">
      <w:pPr>
        <w:rPr>
          <w:b/>
          <w:bCs/>
        </w:rPr>
      </w:pPr>
      <w:r>
        <w:rPr>
          <w:b/>
          <w:bCs/>
        </w:rPr>
        <w:t xml:space="preserve">Business Corporate Accounting </w:t>
      </w:r>
      <w:r w:rsidR="00B907F8" w:rsidRPr="00B61C4B">
        <w:rPr>
          <w:b/>
          <w:bCs/>
        </w:rPr>
        <w:t>Degree Courses</w:t>
      </w:r>
    </w:p>
    <w:tbl>
      <w:tblPr>
        <w:tblW w:w="7035" w:type="dxa"/>
        <w:shd w:val="clear" w:color="auto" w:fill="FFFFFF"/>
        <w:tblCellMar>
          <w:top w:w="15" w:type="dxa"/>
          <w:left w:w="15" w:type="dxa"/>
          <w:bottom w:w="15" w:type="dxa"/>
          <w:right w:w="15" w:type="dxa"/>
        </w:tblCellMar>
        <w:tblLook w:val="04A0" w:firstRow="1" w:lastRow="0" w:firstColumn="1" w:lastColumn="0" w:noHBand="0" w:noVBand="1"/>
      </w:tblPr>
      <w:tblGrid>
        <w:gridCol w:w="7035"/>
      </w:tblGrid>
      <w:tr w:rsidR="00B907F8" w:rsidRPr="00B61C4B" w14:paraId="22467F75" w14:textId="77777777" w:rsidTr="001C71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54F05054" w14:textId="5DD6E7DB" w:rsidR="00B907F8" w:rsidRPr="00B61C4B" w:rsidRDefault="0031480F" w:rsidP="00B5414D">
            <w:r>
              <w:t>ACC 310 Intermediate Accounting for Corporate Accountants</w:t>
            </w:r>
          </w:p>
        </w:tc>
      </w:tr>
      <w:tr w:rsidR="00B907F8" w:rsidRPr="00B61C4B" w14:paraId="2B8A8CA3" w14:textId="77777777" w:rsidTr="001C71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05947649" w14:textId="5C1CAE6F" w:rsidR="00B907F8" w:rsidRPr="00B61C4B" w:rsidRDefault="0031480F" w:rsidP="00B5414D">
            <w:r>
              <w:t>ACC 320 Management Accounting for Corporate Accountants I</w:t>
            </w:r>
          </w:p>
        </w:tc>
      </w:tr>
      <w:tr w:rsidR="00B907F8" w:rsidRPr="00B61C4B" w14:paraId="6ADD9D90" w14:textId="77777777" w:rsidTr="001C71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7D4212F1" w14:textId="03B4534B" w:rsidR="00B907F8" w:rsidRPr="00B61C4B" w:rsidRDefault="0031480F" w:rsidP="00B5414D">
            <w:r>
              <w:t>ACC 354 Governance, Risk, Compliance Internal Controls and Ethics</w:t>
            </w:r>
          </w:p>
        </w:tc>
      </w:tr>
      <w:tr w:rsidR="00B907F8" w:rsidRPr="00B61C4B" w14:paraId="3B505F3A" w14:textId="77777777" w:rsidTr="001C71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52F27A73" w14:textId="6CF6EDDA" w:rsidR="00B907F8" w:rsidRPr="00B61C4B" w:rsidRDefault="0031480F" w:rsidP="00B5414D">
            <w:r>
              <w:t>ACC 410 Financial Statement Analysis</w:t>
            </w:r>
          </w:p>
        </w:tc>
      </w:tr>
      <w:tr w:rsidR="00B907F8" w:rsidRPr="00B61C4B" w14:paraId="6A893A2C" w14:textId="77777777" w:rsidTr="001C71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1561F88F" w14:textId="7B26DC90" w:rsidR="00B907F8" w:rsidRPr="00B61C4B" w:rsidRDefault="0031480F" w:rsidP="00B5414D">
            <w:r>
              <w:t>ACC 420 Management Accounting for Corporate Accountants II</w:t>
            </w:r>
          </w:p>
        </w:tc>
      </w:tr>
      <w:tr w:rsidR="00B907F8" w:rsidRPr="00B61C4B" w14:paraId="130B3F5E" w14:textId="77777777" w:rsidTr="001C71CE">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2D899AFA" w14:textId="38F92194" w:rsidR="00B907F8" w:rsidRPr="00B61C4B" w:rsidRDefault="0031480F" w:rsidP="00B5414D">
            <w:r>
              <w:t>ACC 454 Taxes for Corporate Accountants</w:t>
            </w:r>
          </w:p>
        </w:tc>
      </w:tr>
    </w:tbl>
    <w:p w14:paraId="429FD3F7" w14:textId="77777777" w:rsidR="00B907F8" w:rsidRPr="00B907F8" w:rsidRDefault="00B907F8" w:rsidP="00B907F8">
      <w:pPr>
        <w:rPr>
          <w:sz w:val="28"/>
        </w:rPr>
      </w:pPr>
    </w:p>
    <w:sectPr w:rsidR="00B907F8" w:rsidRPr="00B907F8" w:rsidSect="00B907F8">
      <w:footerReference w:type="default" r:id="rId8"/>
      <w:type w:val="continuous"/>
      <w:pgSz w:w="12240" w:h="15840"/>
      <w:pgMar w:top="660" w:right="1040" w:bottom="480" w:left="1040" w:header="0" w:footer="2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6C54" w14:textId="77777777" w:rsidR="00FC1AC9" w:rsidRDefault="00FC1AC9">
      <w:r>
        <w:separator/>
      </w:r>
    </w:p>
  </w:endnote>
  <w:endnote w:type="continuationSeparator" w:id="0">
    <w:p w14:paraId="34ACEA69" w14:textId="77777777" w:rsidR="00FC1AC9" w:rsidRDefault="00FC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13F6" w14:textId="77777777" w:rsidR="00EB7531" w:rsidRDefault="00A4370F">
    <w:pPr>
      <w:pStyle w:val="BodyText"/>
      <w:spacing w:line="14" w:lineRule="auto"/>
      <w:rPr>
        <w:sz w:val="20"/>
      </w:rPr>
    </w:pPr>
    <w:r>
      <w:rPr>
        <w:noProof/>
      </w:rPr>
      <mc:AlternateContent>
        <mc:Choice Requires="wps">
          <w:drawing>
            <wp:anchor distT="0" distB="0" distL="0" distR="0" simplePos="0" relativeHeight="487502848" behindDoc="1" locked="0" layoutInCell="1" allowOverlap="1" wp14:anchorId="7204F796" wp14:editId="439B1DF1">
              <wp:simplePos x="0" y="0"/>
              <wp:positionH relativeFrom="page">
                <wp:posOffset>6282690</wp:posOffset>
              </wp:positionH>
              <wp:positionV relativeFrom="page">
                <wp:posOffset>9734550</wp:posOffset>
              </wp:positionV>
              <wp:extent cx="770255"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255" cy="165100"/>
                      </a:xfrm>
                      <a:prstGeom prst="rect">
                        <a:avLst/>
                      </a:prstGeom>
                    </wps:spPr>
                    <wps:txbx>
                      <w:txbxContent>
                        <w:p w14:paraId="6E5F07CC" w14:textId="162C2A78" w:rsidR="00EB7531" w:rsidRDefault="00A4370F">
                          <w:pPr>
                            <w:pStyle w:val="BodyText"/>
                            <w:spacing w:line="244" w:lineRule="exact"/>
                            <w:ind w:left="20"/>
                          </w:pPr>
                          <w:r>
                            <w:rPr>
                              <w:color w:val="BEBEBE"/>
                            </w:rPr>
                            <w:t>NLe</w:t>
                          </w:r>
                          <w:r>
                            <w:rPr>
                              <w:color w:val="BEBEBE"/>
                              <w:spacing w:val="-1"/>
                            </w:rPr>
                            <w:t xml:space="preserve"> </w:t>
                          </w:r>
                          <w:r>
                            <w:rPr>
                              <w:color w:val="BEBEBE"/>
                              <w:spacing w:val="-2"/>
                            </w:rPr>
                            <w:t>0</w:t>
                          </w:r>
                          <w:r w:rsidR="008E7977">
                            <w:rPr>
                              <w:color w:val="BEBEBE"/>
                              <w:spacing w:val="-2"/>
                            </w:rPr>
                            <w:t>7.09.24</w:t>
                          </w:r>
                        </w:p>
                      </w:txbxContent>
                    </wps:txbx>
                    <wps:bodyPr wrap="square" lIns="0" tIns="0" rIns="0" bIns="0" rtlCol="0">
                      <a:noAutofit/>
                    </wps:bodyPr>
                  </wps:wsp>
                </a:graphicData>
              </a:graphic>
            </wp:anchor>
          </w:drawing>
        </mc:Choice>
        <mc:Fallback>
          <w:pict>
            <v:shapetype w14:anchorId="7204F796" id="_x0000_t202" coordsize="21600,21600" o:spt="202" path="m,l,21600r21600,l21600,xe">
              <v:stroke joinstyle="miter"/>
              <v:path gradientshapeok="t" o:connecttype="rect"/>
            </v:shapetype>
            <v:shape id="Textbox 4" o:spid="_x0000_s1026" type="#_x0000_t202" style="position:absolute;margin-left:494.7pt;margin-top:766.5pt;width:60.65pt;height:13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kj6qAEAAD4DAAAOAAAAZHJzL2Uyb0RvYy54bWysUsFuGyEQvVfqPyDuNWsrTqqV11HaqFWl&#10;qK2U5ANYFryoC0MZ7F3/fQe8dqL2VuUCAzzemzczm9vJDeygI1rwDV8uKs60V9BZv2v489OXDx85&#10;wyR9JwfwuuFHjfx2+/7dZgy1XkEPQ6cjIxKP9Rga3qcUaiFQ9dpJXEDQnh4NRCcTHeNOdFGOxO4G&#10;saqqazFC7EIEpRHp9v70yLeF3xit0g9jUCc2NJxyS2WNZW3zKrYbWe+iDL1VcxryP7Jw0noSvVDd&#10;yyTZPtp/qJxVERBMWihwAoyxShcP5GZZ/eXmsZdBFy9UHAyXMuHb0arvh5+R2a7hV5x56ahFT3pK&#10;LUzsKhdnDFgT5jEQKk2fYKImF6MYHkD9QoKIV5jTByR0LsZkoss72WT0kep/vNScRJiiy5ubarVe&#10;c6boaXm9XlalJ+Llc4iYvmpwLAcNj9TSkoA8PGDK8rI+Q+ZcTvI5qzS102yihe5IHkZqdcPx915G&#10;zdnwzVMt81ycg3gO2nMQ0/AZyvRkKx7u9gmMLcpZ4sQ7K1OTSkLzQOUpeH0uqJex3/4BAAD//wMA&#10;UEsDBBQABgAIAAAAIQBUZ6+f4QAAAA4BAAAPAAAAZHJzL2Rvd25yZXYueG1sTI/BTsMwEETvSPyD&#10;tUjcqB1KSxPiVBWCExIiDQeOTuwmVuN1iN02/D2bExx35ml2Jt9OrmdnMwbrUUKyEMAMNl5bbCV8&#10;Vq93G2AhKtSq92gk/JgA2+L6KleZ9hcszXkfW0YhGDIloYtxyDgPTWecCgs/GCTv4EenIp1jy/Wo&#10;LhTuen4vxJo7ZZE+dGowz51pjvuTk7D7wvLFfr/XH+WhtFWVCnxbH6W8vZl2T8CimeIfDHN9qg4F&#10;dar9CXVgvYR0kz4QSsZquaRVM5Ik4hFYPWurVAAvcv5/RvELAAD//wMAUEsBAi0AFAAGAAgAAAAh&#10;ALaDOJL+AAAA4QEAABMAAAAAAAAAAAAAAAAAAAAAAFtDb250ZW50X1R5cGVzXS54bWxQSwECLQAU&#10;AAYACAAAACEAOP0h/9YAAACUAQAACwAAAAAAAAAAAAAAAAAvAQAAX3JlbHMvLnJlbHNQSwECLQAU&#10;AAYACAAAACEAnvZI+qgBAAA+AwAADgAAAAAAAAAAAAAAAAAuAgAAZHJzL2Uyb0RvYy54bWxQSwEC&#10;LQAUAAYACAAAACEAVGevn+EAAAAOAQAADwAAAAAAAAAAAAAAAAACBAAAZHJzL2Rvd25yZXYueG1s&#10;UEsFBgAAAAAEAAQA8wAAABAFAAAAAA==&#10;" filled="f" stroked="f">
              <v:textbox inset="0,0,0,0">
                <w:txbxContent>
                  <w:p w14:paraId="6E5F07CC" w14:textId="162C2A78" w:rsidR="00EB7531" w:rsidRDefault="00A4370F">
                    <w:pPr>
                      <w:pStyle w:val="BodyText"/>
                      <w:spacing w:line="244" w:lineRule="exact"/>
                      <w:ind w:left="20"/>
                    </w:pPr>
                    <w:proofErr w:type="spellStart"/>
                    <w:r>
                      <w:rPr>
                        <w:color w:val="BEBEBE"/>
                      </w:rPr>
                      <w:t>NLe</w:t>
                    </w:r>
                    <w:proofErr w:type="spellEnd"/>
                    <w:r>
                      <w:rPr>
                        <w:color w:val="BEBEBE"/>
                        <w:spacing w:val="-1"/>
                      </w:rPr>
                      <w:t xml:space="preserve"> </w:t>
                    </w:r>
                    <w:r>
                      <w:rPr>
                        <w:color w:val="BEBEBE"/>
                        <w:spacing w:val="-2"/>
                      </w:rPr>
                      <w:t>0</w:t>
                    </w:r>
                    <w:r w:rsidR="008E7977">
                      <w:rPr>
                        <w:color w:val="BEBEBE"/>
                        <w:spacing w:val="-2"/>
                      </w:rPr>
                      <w:t>7.09.24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6BED" w14:textId="77777777" w:rsidR="00FC1AC9" w:rsidRDefault="00FC1AC9">
      <w:r>
        <w:separator/>
      </w:r>
    </w:p>
  </w:footnote>
  <w:footnote w:type="continuationSeparator" w:id="0">
    <w:p w14:paraId="561FC06D" w14:textId="77777777" w:rsidR="00FC1AC9" w:rsidRDefault="00FC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86B6F"/>
    <w:multiLevelType w:val="hybridMultilevel"/>
    <w:tmpl w:val="B0DA34AC"/>
    <w:lvl w:ilvl="0" w:tplc="38EE8298">
      <w:numFmt w:val="bullet"/>
      <w:lvlText w:val="•"/>
      <w:lvlJc w:val="left"/>
      <w:pPr>
        <w:ind w:left="795" w:hanging="361"/>
      </w:pPr>
      <w:rPr>
        <w:rFonts w:ascii="Arial" w:eastAsia="Arial" w:hAnsi="Arial" w:cs="Arial" w:hint="default"/>
        <w:b w:val="0"/>
        <w:bCs w:val="0"/>
        <w:i w:val="0"/>
        <w:iCs w:val="0"/>
        <w:spacing w:val="0"/>
        <w:w w:val="131"/>
        <w:sz w:val="20"/>
        <w:szCs w:val="20"/>
        <w:lang w:val="en-US" w:eastAsia="en-US" w:bidi="ar-SA"/>
      </w:rPr>
    </w:lvl>
    <w:lvl w:ilvl="1" w:tplc="855EEFC0">
      <w:numFmt w:val="bullet"/>
      <w:lvlText w:val="•"/>
      <w:lvlJc w:val="left"/>
      <w:pPr>
        <w:ind w:left="1702" w:hanging="361"/>
      </w:pPr>
      <w:rPr>
        <w:rFonts w:hint="default"/>
        <w:lang w:val="en-US" w:eastAsia="en-US" w:bidi="ar-SA"/>
      </w:rPr>
    </w:lvl>
    <w:lvl w:ilvl="2" w:tplc="3D381954">
      <w:numFmt w:val="bullet"/>
      <w:lvlText w:val="•"/>
      <w:lvlJc w:val="left"/>
      <w:pPr>
        <w:ind w:left="2605" w:hanging="361"/>
      </w:pPr>
      <w:rPr>
        <w:rFonts w:hint="default"/>
        <w:lang w:val="en-US" w:eastAsia="en-US" w:bidi="ar-SA"/>
      </w:rPr>
    </w:lvl>
    <w:lvl w:ilvl="3" w:tplc="1504B100">
      <w:numFmt w:val="bullet"/>
      <w:lvlText w:val="•"/>
      <w:lvlJc w:val="left"/>
      <w:pPr>
        <w:ind w:left="3508" w:hanging="361"/>
      </w:pPr>
      <w:rPr>
        <w:rFonts w:hint="default"/>
        <w:lang w:val="en-US" w:eastAsia="en-US" w:bidi="ar-SA"/>
      </w:rPr>
    </w:lvl>
    <w:lvl w:ilvl="4" w:tplc="B9F0E064">
      <w:numFmt w:val="bullet"/>
      <w:lvlText w:val="•"/>
      <w:lvlJc w:val="left"/>
      <w:pPr>
        <w:ind w:left="4411" w:hanging="361"/>
      </w:pPr>
      <w:rPr>
        <w:rFonts w:hint="default"/>
        <w:lang w:val="en-US" w:eastAsia="en-US" w:bidi="ar-SA"/>
      </w:rPr>
    </w:lvl>
    <w:lvl w:ilvl="5" w:tplc="103E6334">
      <w:numFmt w:val="bullet"/>
      <w:lvlText w:val="•"/>
      <w:lvlJc w:val="left"/>
      <w:pPr>
        <w:ind w:left="5314" w:hanging="361"/>
      </w:pPr>
      <w:rPr>
        <w:rFonts w:hint="default"/>
        <w:lang w:val="en-US" w:eastAsia="en-US" w:bidi="ar-SA"/>
      </w:rPr>
    </w:lvl>
    <w:lvl w:ilvl="6" w:tplc="4F8C1BB0">
      <w:numFmt w:val="bullet"/>
      <w:lvlText w:val="•"/>
      <w:lvlJc w:val="left"/>
      <w:pPr>
        <w:ind w:left="6217" w:hanging="361"/>
      </w:pPr>
      <w:rPr>
        <w:rFonts w:hint="default"/>
        <w:lang w:val="en-US" w:eastAsia="en-US" w:bidi="ar-SA"/>
      </w:rPr>
    </w:lvl>
    <w:lvl w:ilvl="7" w:tplc="789440CE">
      <w:numFmt w:val="bullet"/>
      <w:lvlText w:val="•"/>
      <w:lvlJc w:val="left"/>
      <w:pPr>
        <w:ind w:left="7120" w:hanging="361"/>
      </w:pPr>
      <w:rPr>
        <w:rFonts w:hint="default"/>
        <w:lang w:val="en-US" w:eastAsia="en-US" w:bidi="ar-SA"/>
      </w:rPr>
    </w:lvl>
    <w:lvl w:ilvl="8" w:tplc="B2BC71AC">
      <w:numFmt w:val="bullet"/>
      <w:lvlText w:val="•"/>
      <w:lvlJc w:val="left"/>
      <w:pPr>
        <w:ind w:left="802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1"/>
    <w:rsid w:val="001C71CE"/>
    <w:rsid w:val="0031480F"/>
    <w:rsid w:val="003217A2"/>
    <w:rsid w:val="003948E6"/>
    <w:rsid w:val="004828C7"/>
    <w:rsid w:val="00593B48"/>
    <w:rsid w:val="007D66D0"/>
    <w:rsid w:val="008141F7"/>
    <w:rsid w:val="008E7977"/>
    <w:rsid w:val="00A4370F"/>
    <w:rsid w:val="00A93BDF"/>
    <w:rsid w:val="00B907F8"/>
    <w:rsid w:val="00D26E46"/>
    <w:rsid w:val="00EB7531"/>
    <w:rsid w:val="00FC1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71C7B"/>
  <w15:docId w15:val="{0A66092C-E902-3649-B323-DD06FA96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46"/>
      <w:ind w:right="111"/>
      <w:jc w:val="right"/>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ind w:left="120"/>
    </w:pPr>
  </w:style>
  <w:style w:type="character" w:styleId="Hyperlink">
    <w:name w:val="Hyperlink"/>
    <w:basedOn w:val="DefaultParagraphFont"/>
    <w:uiPriority w:val="99"/>
    <w:unhideWhenUsed/>
    <w:rsid w:val="00B907F8"/>
    <w:rPr>
      <w:color w:val="0000FF" w:themeColor="hyperlink"/>
      <w:u w:val="single"/>
    </w:rPr>
  </w:style>
  <w:style w:type="character" w:styleId="Strong">
    <w:name w:val="Strong"/>
    <w:basedOn w:val="DefaultParagraphFont"/>
    <w:uiPriority w:val="22"/>
    <w:qFormat/>
    <w:rsid w:val="001C71CE"/>
    <w:rPr>
      <w:b/>
      <w:bCs/>
    </w:rPr>
  </w:style>
  <w:style w:type="paragraph" w:styleId="Header">
    <w:name w:val="header"/>
    <w:basedOn w:val="Normal"/>
    <w:link w:val="HeaderChar"/>
    <w:uiPriority w:val="99"/>
    <w:unhideWhenUsed/>
    <w:rsid w:val="008E7977"/>
    <w:pPr>
      <w:tabs>
        <w:tab w:val="center" w:pos="4680"/>
        <w:tab w:val="right" w:pos="9360"/>
      </w:tabs>
    </w:pPr>
  </w:style>
  <w:style w:type="character" w:customStyle="1" w:styleId="HeaderChar">
    <w:name w:val="Header Char"/>
    <w:basedOn w:val="DefaultParagraphFont"/>
    <w:link w:val="Header"/>
    <w:uiPriority w:val="99"/>
    <w:rsid w:val="008E7977"/>
    <w:rPr>
      <w:rFonts w:ascii="Calibri" w:eastAsia="Calibri" w:hAnsi="Calibri" w:cs="Calibri"/>
    </w:rPr>
  </w:style>
  <w:style w:type="paragraph" w:styleId="Footer">
    <w:name w:val="footer"/>
    <w:basedOn w:val="Normal"/>
    <w:link w:val="FooterChar"/>
    <w:uiPriority w:val="99"/>
    <w:unhideWhenUsed/>
    <w:rsid w:val="008E7977"/>
    <w:pPr>
      <w:tabs>
        <w:tab w:val="center" w:pos="4680"/>
        <w:tab w:val="right" w:pos="9360"/>
      </w:tabs>
    </w:pPr>
  </w:style>
  <w:style w:type="character" w:customStyle="1" w:styleId="FooterChar">
    <w:name w:val="Footer Char"/>
    <w:basedOn w:val="DefaultParagraphFont"/>
    <w:link w:val="Footer"/>
    <w:uiPriority w:val="99"/>
    <w:rsid w:val="008E797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Stephanie Cook</cp:lastModifiedBy>
  <cp:revision>4</cp:revision>
  <dcterms:created xsi:type="dcterms:W3CDTF">2024-07-09T19:48:00Z</dcterms:created>
  <dcterms:modified xsi:type="dcterms:W3CDTF">2024-07-09T20:33:00Z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Microsoft Word</vt:lpwstr>
  </property>
  <property fmtid="{D5CDD505-2E9C-101B-9397-08002B2CF9AE}" pid="4" name="LastSaved">
    <vt:filetime>2024-06-25T00:00:00Z</vt:filetime>
  </property>
</Properties>
</file>